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66014F7"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456CE">
        <w:rPr>
          <w:rFonts w:ascii="Calibri" w:hAnsi="Calibri"/>
        </w:rPr>
        <w:t>ENG5</w:t>
      </w:r>
      <w:r w:rsidRPr="007A395D">
        <w:rPr>
          <w:rFonts w:ascii="Calibri" w:hAnsi="Calibri"/>
        </w:rPr>
        <w:t>-</w:t>
      </w:r>
      <w:r w:rsidR="00C9641E">
        <w:rPr>
          <w:rFonts w:ascii="Calibri" w:hAnsi="Calibri"/>
        </w:rPr>
        <w:t>9.16</w:t>
      </w: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5B7E6C7"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1E038E">
        <w:tab/>
      </w:r>
      <w:r w:rsidR="001E038E">
        <w:rPr>
          <w:b/>
        </w:rPr>
        <w:t>X</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1E038E">
        <w:rPr>
          <w:b/>
        </w:rPr>
        <w:t>X</w:t>
      </w:r>
      <w:r w:rsidRPr="007A395D">
        <w:t xml:space="preserve">  Input</w:t>
      </w:r>
    </w:p>
    <w:p w14:paraId="0BC79547" w14:textId="06A4F020" w:rsidR="0080294B" w:rsidRPr="007A395D" w:rsidRDefault="0080294B" w:rsidP="00F36489">
      <w:pPr>
        <w:pStyle w:val="BodyText"/>
      </w:pPr>
      <w:proofErr w:type="gramStart"/>
      <w:r w:rsidRPr="007A395D">
        <w:rPr>
          <w:b/>
        </w:rPr>
        <w:t>□</w:t>
      </w:r>
      <w:r w:rsidRPr="007A395D">
        <w:t xml:space="preserve">  ENAV</w:t>
      </w:r>
      <w:proofErr w:type="gramEnd"/>
      <w:r w:rsidRPr="007A395D">
        <w:rPr>
          <w:b/>
        </w:rPr>
        <w:tab/>
        <w:t>□</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2D165E20"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1E038E">
        <w:tab/>
        <w:t>9 and 10</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3E2BB047"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1E038E">
        <w:t>IALA Secretariat</w:t>
      </w:r>
    </w:p>
    <w:p w14:paraId="60BCC120" w14:textId="77777777" w:rsidR="0080294B" w:rsidRPr="007A395D" w:rsidRDefault="0080294B" w:rsidP="00F36489">
      <w:pPr>
        <w:pStyle w:val="BodyText"/>
      </w:pPr>
    </w:p>
    <w:p w14:paraId="4834080C" w14:textId="6FF0BDD0" w:rsidR="00A446C9" w:rsidRPr="00605E43" w:rsidRDefault="00C9641E" w:rsidP="00F36489">
      <w:pPr>
        <w:pStyle w:val="Title"/>
      </w:pPr>
      <w:r>
        <w:t>Query re definition of Dictionary terms</w:t>
      </w:r>
    </w:p>
    <w:p w14:paraId="0F258596" w14:textId="50FB6E37" w:rsidR="00A446C9" w:rsidRPr="00605E43" w:rsidRDefault="00A446C9" w:rsidP="00605E43">
      <w:pPr>
        <w:pStyle w:val="Heading1"/>
      </w:pPr>
      <w:r w:rsidRPr="00605E43">
        <w:t>Summary</w:t>
      </w:r>
    </w:p>
    <w:p w14:paraId="4E25AC4B" w14:textId="2543E7DB" w:rsidR="001E038E" w:rsidRDefault="001E038E" w:rsidP="00F36489">
      <w:pPr>
        <w:pStyle w:val="BodyText"/>
      </w:pPr>
      <w:r>
        <w:t>The IALA Secretariat is reformatting existing IALA Recommendations and Guidelines to comply with the new IALA corporate image. Queries have arisen regarding definitions found in some of the Guidelines.</w:t>
      </w:r>
    </w:p>
    <w:p w14:paraId="5B506C00" w14:textId="2E3535C4" w:rsidR="00512B93" w:rsidRDefault="00512B93" w:rsidP="00F36489">
      <w:pPr>
        <w:pStyle w:val="BodyText"/>
      </w:pPr>
      <w:r>
        <w:t xml:space="preserve">The definitions are relevant to the work of WG1 and WG2 and this query is therefore addressed in the first instance to both WGs. The ENG Committee should approve any amendments to </w:t>
      </w:r>
      <w:r w:rsidR="00A03253">
        <w:t>definitions</w:t>
      </w:r>
      <w:bookmarkStart w:id="0" w:name="_GoBack"/>
      <w:bookmarkEnd w:id="0"/>
      <w:r>
        <w:t>.</w:t>
      </w:r>
    </w:p>
    <w:p w14:paraId="3C575A26" w14:textId="77777777" w:rsidR="001C44A3" w:rsidRPr="00605E43" w:rsidRDefault="00BD4E6F" w:rsidP="00605E43">
      <w:pPr>
        <w:pStyle w:val="Heading2"/>
      </w:pPr>
      <w:r w:rsidRPr="00605E43">
        <w:t>Purpose</w:t>
      </w:r>
      <w:r w:rsidR="004D1D85" w:rsidRPr="00605E43">
        <w:t xml:space="preserve"> of the document</w:t>
      </w:r>
    </w:p>
    <w:p w14:paraId="30ED2EBE" w14:textId="249F80DE" w:rsidR="001E038E" w:rsidRDefault="001E038E" w:rsidP="00F36489">
      <w:pPr>
        <w:pStyle w:val="BodyText"/>
      </w:pPr>
      <w:r>
        <w:t>The purpose of this paper is to rectify conflicts between Guidelines and the Dictionary.</w:t>
      </w:r>
    </w:p>
    <w:p w14:paraId="36D645BE" w14:textId="77777777" w:rsidR="00B56BDF" w:rsidRPr="007A395D" w:rsidRDefault="00B56BDF" w:rsidP="00605E43">
      <w:pPr>
        <w:pStyle w:val="Heading2"/>
      </w:pPr>
      <w:r w:rsidRPr="007A395D">
        <w:t>Related documents</w:t>
      </w:r>
    </w:p>
    <w:p w14:paraId="3D7A5C9C" w14:textId="77777777" w:rsidR="001E038E" w:rsidRDefault="001E038E" w:rsidP="00F36489">
      <w:pPr>
        <w:pStyle w:val="BodyText"/>
      </w:pPr>
      <w:r>
        <w:t>IALA Guideline 1037</w:t>
      </w:r>
    </w:p>
    <w:p w14:paraId="553E55ED" w14:textId="79343D29" w:rsidR="00E55927" w:rsidRPr="00F36489" w:rsidRDefault="001E038E" w:rsidP="00F36489">
      <w:pPr>
        <w:pStyle w:val="BodyText"/>
      </w:pPr>
      <w:r>
        <w:t>IALA Guideline 1048</w:t>
      </w:r>
    </w:p>
    <w:p w14:paraId="53733F03" w14:textId="77777777" w:rsidR="00A446C9" w:rsidRPr="007A395D" w:rsidRDefault="00A446C9" w:rsidP="00605E43">
      <w:pPr>
        <w:pStyle w:val="Heading1"/>
      </w:pPr>
      <w:r w:rsidRPr="007A395D">
        <w:t>Background</w:t>
      </w:r>
    </w:p>
    <w:p w14:paraId="07452EBC" w14:textId="05A12346" w:rsidR="00A446C9" w:rsidRPr="007A395D" w:rsidRDefault="001E038E" w:rsidP="00F36489">
      <w:pPr>
        <w:pStyle w:val="BodyText"/>
      </w:pPr>
      <w:r w:rsidRPr="001E038E">
        <w:t>The IALA Secretariat is reformatting existing IALA Recommendations and Guidelines to comply with the new IALA corporate image. Queries have arisen regarding definitions found in some of the Guidelines.</w:t>
      </w:r>
    </w:p>
    <w:p w14:paraId="041E9135" w14:textId="77777777" w:rsidR="00A446C9" w:rsidRPr="007A395D" w:rsidRDefault="00A446C9" w:rsidP="00605E43">
      <w:pPr>
        <w:pStyle w:val="Heading1"/>
      </w:pPr>
      <w:r w:rsidRPr="007A395D">
        <w:t>Discussion</w:t>
      </w:r>
    </w:p>
    <w:p w14:paraId="11D2DE2B" w14:textId="08AF08B9" w:rsidR="001E038E" w:rsidRDefault="001E038E" w:rsidP="00F36489">
      <w:pPr>
        <w:pStyle w:val="BodyText"/>
      </w:pPr>
      <w:r>
        <w:t>Definitions found in IALA Guidelines 1037 and 1048 have been removed from the Guidelines and replaced in the Guidelines with a reference to the IALA Dictionary.</w:t>
      </w:r>
    </w:p>
    <w:p w14:paraId="3DEE5EF3" w14:textId="17118400" w:rsidR="001E038E" w:rsidRDefault="001E038E" w:rsidP="00F36489">
      <w:pPr>
        <w:pStyle w:val="BodyText"/>
      </w:pPr>
      <w:r>
        <w:t xml:space="preserve">The table in Annex </w:t>
      </w:r>
      <w:proofErr w:type="gramStart"/>
      <w:r>
        <w:t>A</w:t>
      </w:r>
      <w:proofErr w:type="gramEnd"/>
      <w:r>
        <w:t xml:space="preserve"> shows the definitions removed from the Guidelines and the existing definitions in the Dictionary where they exist.</w:t>
      </w:r>
      <w:r w:rsidR="005D67E5">
        <w:t xml:space="preserve"> The definitions shown in the “proposed definition” column are taken from the Guidelines and should not be considered as definitions</w:t>
      </w:r>
      <w:r w:rsidR="00512B93">
        <w:t xml:space="preserve"> proposed by the Secretariat</w:t>
      </w:r>
      <w:r w:rsidR="005D67E5">
        <w:t>. The Committee may wish to retain the existing definitions.</w:t>
      </w:r>
    </w:p>
    <w:p w14:paraId="5F8C3A82" w14:textId="09B8B092" w:rsidR="005A0F3D" w:rsidRDefault="005A0F3D" w:rsidP="005A0F3D">
      <w:pPr>
        <w:pStyle w:val="BodyText"/>
      </w:pPr>
      <w:r>
        <w:t xml:space="preserve">There is conflict between the definitions removed from the Guidelines and those in the Dictionary. It is therefore necessary to agree a correct definition for each term. </w:t>
      </w:r>
    </w:p>
    <w:p w14:paraId="0D5A869E" w14:textId="1C9994B9" w:rsidR="005A0F3D" w:rsidRDefault="005A0F3D" w:rsidP="005A0F3D">
      <w:pPr>
        <w:pStyle w:val="BodyText"/>
      </w:pPr>
      <w:r>
        <w:t xml:space="preserve">Proposed revisions </w:t>
      </w:r>
      <w:r w:rsidR="00512B93">
        <w:t xml:space="preserve">from ENG5 </w:t>
      </w:r>
      <w:r>
        <w:t>will be submitted to the DWG for approval and input to the Dictionary.</w:t>
      </w:r>
    </w:p>
    <w:p w14:paraId="7A8D2F27" w14:textId="77777777" w:rsidR="00A446C9" w:rsidRPr="007A395D" w:rsidRDefault="00A446C9" w:rsidP="00605E43">
      <w:pPr>
        <w:pStyle w:val="Heading1"/>
      </w:pPr>
      <w:r w:rsidRPr="007A395D">
        <w:t>Action requested of the Committee</w:t>
      </w:r>
    </w:p>
    <w:p w14:paraId="70F8912F" w14:textId="0FA1BB48" w:rsidR="000005D3" w:rsidRPr="007A395D" w:rsidRDefault="00F25BF4" w:rsidP="005A0F3D">
      <w:pPr>
        <w:pStyle w:val="BodyText"/>
      </w:pPr>
      <w:r w:rsidRPr="007A395D">
        <w:t>The Committee is requested to</w:t>
      </w:r>
      <w:r w:rsidR="005A0F3D">
        <w:t xml:space="preserve"> provide a correct definition for each of the terms in Annex A. </w:t>
      </w:r>
    </w:p>
    <w:p w14:paraId="66CA4D29" w14:textId="77777777" w:rsidR="005A0F3D" w:rsidRDefault="005A0F3D" w:rsidP="000005D3">
      <w:pPr>
        <w:pStyle w:val="AnnexHeading1"/>
        <w:rPr>
          <w:rFonts w:ascii="Calibri" w:hAnsi="Calibri"/>
          <w:color w:val="4F81BD" w:themeColor="accent1"/>
        </w:rPr>
        <w:sectPr w:rsidR="005A0F3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pPr>
    </w:p>
    <w:p w14:paraId="0AE6A493" w14:textId="2B30C6E2" w:rsidR="000005D3" w:rsidRPr="007A395D" w:rsidRDefault="005A0F3D" w:rsidP="000005D3">
      <w:pPr>
        <w:pStyle w:val="AnnexHeading1"/>
        <w:rPr>
          <w:rFonts w:ascii="Calibri" w:hAnsi="Calibri"/>
          <w:color w:val="4F81BD" w:themeColor="accent1"/>
        </w:rPr>
      </w:pPr>
      <w:r>
        <w:rPr>
          <w:rFonts w:ascii="Calibri" w:hAnsi="Calibri"/>
          <w:color w:val="4F81BD" w:themeColor="accent1"/>
        </w:rPr>
        <w:lastRenderedPageBreak/>
        <w:t>Dictionary amendment proposal</w:t>
      </w:r>
    </w:p>
    <w:p w14:paraId="1FC4E7A9" w14:textId="77777777" w:rsidR="004D1D85" w:rsidRPr="007A395D" w:rsidRDefault="004D1D85" w:rsidP="00F36489">
      <w:pPr>
        <w:pStyle w:val="BodyText"/>
      </w:pPr>
    </w:p>
    <w:tbl>
      <w:tblPr>
        <w:tblStyle w:val="TableGrid"/>
        <w:tblW w:w="14017" w:type="dxa"/>
        <w:tblLayout w:type="fixed"/>
        <w:tblCellMar>
          <w:left w:w="28" w:type="dxa"/>
          <w:right w:w="28" w:type="dxa"/>
        </w:tblCellMar>
        <w:tblLook w:val="04A0" w:firstRow="1" w:lastRow="0" w:firstColumn="1" w:lastColumn="0" w:noHBand="0" w:noVBand="1"/>
      </w:tblPr>
      <w:tblGrid>
        <w:gridCol w:w="1587"/>
        <w:gridCol w:w="1062"/>
        <w:gridCol w:w="992"/>
        <w:gridCol w:w="4252"/>
        <w:gridCol w:w="4252"/>
        <w:gridCol w:w="924"/>
        <w:gridCol w:w="948"/>
      </w:tblGrid>
      <w:tr w:rsidR="005A0F3D" w:rsidRPr="00011CD2" w14:paraId="1BB7D46E" w14:textId="77777777" w:rsidTr="0064794C">
        <w:trPr>
          <w:tblHeader/>
        </w:trPr>
        <w:tc>
          <w:tcPr>
            <w:tcW w:w="1587" w:type="dxa"/>
            <w:tcBorders>
              <w:bottom w:val="thickThinSmallGap" w:sz="24" w:space="0" w:color="000000"/>
            </w:tcBorders>
            <w:shd w:val="clear" w:color="auto" w:fill="365F91" w:themeFill="accent1" w:themeFillShade="BF"/>
            <w:vAlign w:val="center"/>
          </w:tcPr>
          <w:p w14:paraId="0A85F10D"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4F7D3406"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11419BC8" w14:textId="77777777" w:rsidR="005A0F3D" w:rsidRPr="00011CD2" w:rsidRDefault="005A0F3D" w:rsidP="0064794C">
            <w:pPr>
              <w:pStyle w:val="BodyText"/>
              <w:jc w:val="center"/>
              <w:rPr>
                <w:b/>
                <w:color w:val="FFFFFF" w:themeColor="background1"/>
                <w:sz w:val="24"/>
                <w:szCs w:val="24"/>
              </w:rPr>
            </w:pPr>
            <w:r w:rsidRPr="00011CD2">
              <w:rPr>
                <w:b/>
                <w:color w:val="FFFFFF" w:themeColor="background1"/>
                <w:sz w:val="24"/>
                <w:szCs w:val="24"/>
              </w:rPr>
              <w:t>Source</w:t>
            </w:r>
          </w:p>
          <w:p w14:paraId="1D01F3B7" w14:textId="77777777" w:rsidR="005A0F3D" w:rsidRPr="00011CD2" w:rsidRDefault="005A0F3D" w:rsidP="0064794C">
            <w:pPr>
              <w:pStyle w:val="BodyText"/>
              <w:spacing w:after="0"/>
              <w:jc w:val="center"/>
              <w:rPr>
                <w:b/>
                <w:color w:val="FFFFFF" w:themeColor="background1"/>
                <w:sz w:val="18"/>
                <w:szCs w:val="18"/>
              </w:rPr>
            </w:pPr>
            <w:r w:rsidRPr="00011CD2">
              <w:rPr>
                <w:b/>
                <w:color w:val="FFFFFF" w:themeColor="background1"/>
                <w:sz w:val="18"/>
                <w:szCs w:val="18"/>
              </w:rPr>
              <w:t>(meeting/</w:t>
            </w:r>
          </w:p>
          <w:p w14:paraId="6EEF85D3" w14:textId="77777777" w:rsidR="005A0F3D" w:rsidRPr="00011CD2" w:rsidRDefault="005A0F3D" w:rsidP="0064794C">
            <w:pPr>
              <w:pStyle w:val="BodyText"/>
              <w:spacing w:after="0"/>
              <w:jc w:val="center"/>
              <w:rPr>
                <w:b/>
                <w:color w:val="FFFFFF" w:themeColor="background1"/>
                <w:sz w:val="18"/>
                <w:szCs w:val="18"/>
              </w:rPr>
            </w:pPr>
            <w:r w:rsidRPr="00011CD2">
              <w:rPr>
                <w:b/>
                <w:color w:val="FFFFFF" w:themeColor="background1"/>
                <w:sz w:val="18"/>
                <w:szCs w:val="18"/>
              </w:rPr>
              <w:t>document/</w:t>
            </w:r>
          </w:p>
          <w:p w14:paraId="75EDE164" w14:textId="77777777" w:rsidR="005A0F3D" w:rsidRPr="00011CD2" w:rsidRDefault="005A0F3D" w:rsidP="0064794C">
            <w:pPr>
              <w:pStyle w:val="BodyText"/>
              <w:spacing w:after="0"/>
              <w:jc w:val="center"/>
              <w:rPr>
                <w:b/>
                <w:color w:val="FFFFFF" w:themeColor="background1"/>
                <w:sz w:val="24"/>
                <w:szCs w:val="24"/>
              </w:rPr>
            </w:pPr>
            <w:r w:rsidRPr="00011CD2">
              <w:rPr>
                <w:b/>
                <w:color w:val="FFFFFF" w:themeColor="background1"/>
                <w:sz w:val="18"/>
                <w:szCs w:val="18"/>
              </w:rPr>
              <w:t>person)</w:t>
            </w:r>
          </w:p>
        </w:tc>
        <w:tc>
          <w:tcPr>
            <w:tcW w:w="4252" w:type="dxa"/>
            <w:tcBorders>
              <w:bottom w:val="thickThinSmallGap" w:sz="24" w:space="0" w:color="000000"/>
            </w:tcBorders>
            <w:shd w:val="clear" w:color="auto" w:fill="365F91" w:themeFill="accent1" w:themeFillShade="BF"/>
            <w:vAlign w:val="center"/>
          </w:tcPr>
          <w:p w14:paraId="41ECAF57"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Old definition</w:t>
            </w:r>
          </w:p>
        </w:tc>
        <w:tc>
          <w:tcPr>
            <w:tcW w:w="4252" w:type="dxa"/>
            <w:tcBorders>
              <w:bottom w:val="thickThinSmallGap" w:sz="24" w:space="0" w:color="000000"/>
            </w:tcBorders>
            <w:shd w:val="clear" w:color="auto" w:fill="365F91" w:themeFill="accent1" w:themeFillShade="BF"/>
            <w:vAlign w:val="center"/>
          </w:tcPr>
          <w:p w14:paraId="6A655341" w14:textId="7FF5BBD5" w:rsidR="00526888" w:rsidRDefault="00526888" w:rsidP="005A0F3D">
            <w:pPr>
              <w:pStyle w:val="BodyText"/>
              <w:jc w:val="center"/>
              <w:rPr>
                <w:b/>
                <w:color w:val="FFFFFF" w:themeColor="background1"/>
                <w:sz w:val="20"/>
                <w:szCs w:val="20"/>
              </w:rPr>
            </w:pPr>
            <w:r>
              <w:rPr>
                <w:b/>
                <w:color w:val="FFFFFF" w:themeColor="background1"/>
                <w:sz w:val="20"/>
                <w:szCs w:val="20"/>
              </w:rPr>
              <w:t>Definition from Guideline /</w:t>
            </w:r>
          </w:p>
          <w:p w14:paraId="5CBE3F65" w14:textId="2CFBC482" w:rsidR="005A0F3D" w:rsidRPr="00B737CB" w:rsidRDefault="005A0F3D" w:rsidP="005A0F3D">
            <w:pPr>
              <w:pStyle w:val="BodyText"/>
              <w:jc w:val="center"/>
              <w:rPr>
                <w:b/>
                <w:color w:val="FFFFFF" w:themeColor="background1"/>
                <w:sz w:val="20"/>
                <w:szCs w:val="20"/>
              </w:rPr>
            </w:pPr>
            <w:r w:rsidRPr="00B737CB">
              <w:rPr>
                <w:b/>
                <w:color w:val="FFFFFF" w:themeColor="background1"/>
                <w:sz w:val="20"/>
                <w:szCs w:val="20"/>
              </w:rPr>
              <w:t>Proposed definition</w:t>
            </w:r>
          </w:p>
        </w:tc>
        <w:tc>
          <w:tcPr>
            <w:tcW w:w="924" w:type="dxa"/>
            <w:tcBorders>
              <w:bottom w:val="thickThinSmallGap" w:sz="24" w:space="0" w:color="000000"/>
            </w:tcBorders>
            <w:shd w:val="clear" w:color="auto" w:fill="365F91" w:themeFill="accent1" w:themeFillShade="BF"/>
            <w:vAlign w:val="center"/>
          </w:tcPr>
          <w:p w14:paraId="0992E993"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Reason for change</w:t>
            </w:r>
          </w:p>
        </w:tc>
        <w:tc>
          <w:tcPr>
            <w:tcW w:w="948" w:type="dxa"/>
            <w:tcBorders>
              <w:bottom w:val="thickThinSmallGap" w:sz="24" w:space="0" w:color="000000"/>
            </w:tcBorders>
            <w:shd w:val="clear" w:color="auto" w:fill="365F91" w:themeFill="accent1" w:themeFillShade="BF"/>
            <w:vAlign w:val="center"/>
          </w:tcPr>
          <w:p w14:paraId="641764BF" w14:textId="77777777" w:rsidR="005A0F3D" w:rsidRDefault="005A0F3D" w:rsidP="0064794C">
            <w:pPr>
              <w:pStyle w:val="BodyText"/>
              <w:jc w:val="center"/>
              <w:rPr>
                <w:b/>
                <w:color w:val="FFFFFF" w:themeColor="background1"/>
                <w:sz w:val="20"/>
                <w:szCs w:val="20"/>
              </w:rPr>
            </w:pPr>
            <w:r>
              <w:rPr>
                <w:b/>
                <w:color w:val="FFFFFF" w:themeColor="background1"/>
                <w:sz w:val="20"/>
                <w:szCs w:val="20"/>
              </w:rPr>
              <w:t>Propose</w:t>
            </w:r>
          </w:p>
          <w:p w14:paraId="7080E400" w14:textId="77777777" w:rsidR="005A0F3D" w:rsidRPr="00B737CB" w:rsidRDefault="005A0F3D" w:rsidP="0064794C">
            <w:pPr>
              <w:pStyle w:val="BodyText"/>
              <w:jc w:val="center"/>
              <w:rPr>
                <w:b/>
                <w:color w:val="FFFFFF" w:themeColor="background1"/>
                <w:sz w:val="20"/>
                <w:szCs w:val="20"/>
              </w:rPr>
            </w:pPr>
            <w:r w:rsidRPr="00B737CB">
              <w:rPr>
                <w:b/>
                <w:color w:val="FFFFFF" w:themeColor="background1"/>
                <w:sz w:val="20"/>
                <w:szCs w:val="20"/>
              </w:rPr>
              <w:t>Date</w:t>
            </w:r>
          </w:p>
        </w:tc>
      </w:tr>
      <w:tr w:rsidR="005A0F3D" w:rsidRPr="00011CD2" w14:paraId="20BC3F91" w14:textId="77777777" w:rsidTr="0064794C">
        <w:tc>
          <w:tcPr>
            <w:tcW w:w="1587" w:type="dxa"/>
            <w:vAlign w:val="center"/>
          </w:tcPr>
          <w:p w14:paraId="765D405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Failure</w:t>
            </w:r>
          </w:p>
        </w:tc>
        <w:tc>
          <w:tcPr>
            <w:tcW w:w="1062" w:type="dxa"/>
            <w:vAlign w:val="center"/>
          </w:tcPr>
          <w:p w14:paraId="72798B1D"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5-1-000</w:t>
            </w:r>
          </w:p>
        </w:tc>
        <w:tc>
          <w:tcPr>
            <w:tcW w:w="992" w:type="dxa"/>
            <w:vAlign w:val="center"/>
          </w:tcPr>
          <w:p w14:paraId="3BDAC528"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52CA5F7B"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The termination of the ability of an item to perform its required function.</w:t>
            </w:r>
          </w:p>
        </w:tc>
        <w:tc>
          <w:tcPr>
            <w:tcW w:w="4252" w:type="dxa"/>
            <w:vAlign w:val="center"/>
          </w:tcPr>
          <w:p w14:paraId="38BDC441" w14:textId="77777777" w:rsidR="005A0F3D" w:rsidRPr="0048498F" w:rsidRDefault="005A0F3D" w:rsidP="0064794C">
            <w:pPr>
              <w:rPr>
                <w:rFonts w:asciiTheme="minorHAnsi" w:hAnsiTheme="minorHAnsi"/>
                <w:sz w:val="20"/>
                <w:szCs w:val="20"/>
              </w:rPr>
            </w:pPr>
            <w:r w:rsidRPr="0048498F">
              <w:rPr>
                <w:rFonts w:asciiTheme="minorHAnsi" w:hAnsiTheme="minorHAnsi"/>
                <w:sz w:val="20"/>
                <w:szCs w:val="20"/>
              </w:rPr>
              <w:t>Proposed definition English:</w:t>
            </w:r>
          </w:p>
          <w:p w14:paraId="631ED1E5" w14:textId="77777777" w:rsidR="005A0F3D" w:rsidRDefault="005A0F3D" w:rsidP="0064794C">
            <w:pPr>
              <w:pStyle w:val="BodyText"/>
              <w:jc w:val="left"/>
              <w:rPr>
                <w:rFonts w:asciiTheme="minorHAnsi" w:hAnsiTheme="minorHAnsi"/>
                <w:sz w:val="20"/>
                <w:szCs w:val="20"/>
              </w:rPr>
            </w:pPr>
            <w:r w:rsidRPr="0048498F">
              <w:rPr>
                <w:rFonts w:asciiTheme="minorHAnsi" w:hAnsiTheme="minorHAnsi"/>
                <w:sz w:val="20"/>
                <w:szCs w:val="20"/>
              </w:rPr>
              <w:t>A failure is defined as the unintentional termination of the ability of a system or part of a system to perform its required function.  This means failure to display its correct characteristics or to be on its assigned position for proper use by mariners.</w:t>
            </w:r>
          </w:p>
          <w:p w14:paraId="306727B1"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006A818E" w14:textId="77777777" w:rsidR="005A0F3D" w:rsidRDefault="005A0F3D" w:rsidP="0064794C">
            <w:pPr>
              <w:pStyle w:val="BodyText"/>
              <w:spacing w:after="0"/>
              <w:jc w:val="left"/>
              <w:rPr>
                <w:rFonts w:asciiTheme="minorHAnsi" w:hAnsiTheme="minorHAnsi"/>
                <w:sz w:val="20"/>
                <w:szCs w:val="20"/>
              </w:rPr>
            </w:pPr>
          </w:p>
          <w:p w14:paraId="10F8C64F"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32DC6E23"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4D7A04DA"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Guideline 1037</w:t>
            </w:r>
          </w:p>
        </w:tc>
        <w:tc>
          <w:tcPr>
            <w:tcW w:w="948" w:type="dxa"/>
            <w:vAlign w:val="center"/>
          </w:tcPr>
          <w:p w14:paraId="5D18F001"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WG2</w:t>
            </w:r>
          </w:p>
        </w:tc>
      </w:tr>
      <w:tr w:rsidR="005A0F3D" w:rsidRPr="00011CD2" w14:paraId="6097A1FC" w14:textId="77777777" w:rsidTr="0064794C">
        <w:tc>
          <w:tcPr>
            <w:tcW w:w="1587" w:type="dxa"/>
            <w:vAlign w:val="center"/>
          </w:tcPr>
          <w:p w14:paraId="70DF520C"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Fault</w:t>
            </w:r>
          </w:p>
        </w:tc>
        <w:tc>
          <w:tcPr>
            <w:tcW w:w="1062" w:type="dxa"/>
            <w:vAlign w:val="center"/>
          </w:tcPr>
          <w:p w14:paraId="425B954A"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5-1-015</w:t>
            </w:r>
          </w:p>
        </w:tc>
        <w:tc>
          <w:tcPr>
            <w:tcW w:w="992" w:type="dxa"/>
            <w:vAlign w:val="center"/>
          </w:tcPr>
          <w:p w14:paraId="4E7B0655"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60AECB89" w14:textId="77777777" w:rsidR="005A0F3D" w:rsidRPr="00011CD2" w:rsidRDefault="005A0F3D" w:rsidP="0064794C">
            <w:pPr>
              <w:pStyle w:val="BodyText"/>
              <w:jc w:val="left"/>
              <w:rPr>
                <w:rFonts w:asciiTheme="minorHAnsi" w:hAnsiTheme="minorHAnsi"/>
                <w:sz w:val="20"/>
                <w:szCs w:val="20"/>
              </w:rPr>
            </w:pPr>
            <w:r w:rsidRPr="0048498F">
              <w:rPr>
                <w:rFonts w:asciiTheme="minorHAnsi" w:hAnsiTheme="minorHAnsi"/>
                <w:sz w:val="20"/>
                <w:szCs w:val="20"/>
              </w:rPr>
              <w:t>That condition of an element of a system which may result in a failure of either the system or part of it.</w:t>
            </w:r>
          </w:p>
        </w:tc>
        <w:tc>
          <w:tcPr>
            <w:tcW w:w="4252" w:type="dxa"/>
            <w:vAlign w:val="center"/>
          </w:tcPr>
          <w:p w14:paraId="2CC32CC0" w14:textId="77777777" w:rsidR="005A0F3D" w:rsidRDefault="005A0F3D" w:rsidP="0064794C">
            <w:pPr>
              <w:pStyle w:val="BodyText"/>
              <w:jc w:val="left"/>
              <w:rPr>
                <w:rFonts w:asciiTheme="minorHAnsi" w:hAnsiTheme="minorHAnsi"/>
                <w:sz w:val="20"/>
                <w:szCs w:val="20"/>
              </w:rPr>
            </w:pPr>
            <w:r>
              <w:rPr>
                <w:rFonts w:asciiTheme="minorHAnsi" w:hAnsiTheme="minorHAnsi"/>
                <w:sz w:val="20"/>
                <w:szCs w:val="20"/>
              </w:rPr>
              <w:t xml:space="preserve">Proposed definition English: </w:t>
            </w:r>
            <w:r w:rsidRPr="0048498F">
              <w:rPr>
                <w:rFonts w:asciiTheme="minorHAnsi" w:hAnsiTheme="minorHAnsi"/>
                <w:sz w:val="20"/>
                <w:szCs w:val="20"/>
              </w:rPr>
              <w:t>A fault is the failure of part of a system that does not affect the ability of the AtoN to perform its required function.</w:t>
            </w:r>
          </w:p>
          <w:p w14:paraId="56987D64" w14:textId="77777777" w:rsidR="005A0F3D" w:rsidRDefault="005A0F3D" w:rsidP="0064794C">
            <w:pPr>
              <w:pStyle w:val="BodyText"/>
              <w:spacing w:after="0"/>
              <w:jc w:val="left"/>
              <w:rPr>
                <w:rFonts w:asciiTheme="minorHAnsi" w:hAnsiTheme="minorHAnsi"/>
                <w:sz w:val="20"/>
                <w:szCs w:val="20"/>
              </w:rPr>
            </w:pPr>
          </w:p>
          <w:p w14:paraId="330F55A6"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E557F7E" w14:textId="77777777" w:rsidR="005A0F3D" w:rsidRDefault="005A0F3D" w:rsidP="0064794C">
            <w:pPr>
              <w:pStyle w:val="BodyText"/>
              <w:spacing w:after="0"/>
              <w:jc w:val="left"/>
              <w:rPr>
                <w:rFonts w:asciiTheme="minorHAnsi" w:hAnsiTheme="minorHAnsi"/>
                <w:sz w:val="20"/>
                <w:szCs w:val="20"/>
              </w:rPr>
            </w:pPr>
          </w:p>
          <w:p w14:paraId="6108FBD5"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30B20C59"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39907060"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Guideline 1037</w:t>
            </w:r>
          </w:p>
        </w:tc>
        <w:tc>
          <w:tcPr>
            <w:tcW w:w="948" w:type="dxa"/>
            <w:vAlign w:val="center"/>
          </w:tcPr>
          <w:p w14:paraId="7533D5A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WG2</w:t>
            </w:r>
          </w:p>
        </w:tc>
      </w:tr>
      <w:tr w:rsidR="005A0F3D" w:rsidRPr="00011CD2" w14:paraId="2A1F5BEA" w14:textId="77777777" w:rsidTr="0064794C">
        <w:tc>
          <w:tcPr>
            <w:tcW w:w="1587" w:type="dxa"/>
            <w:vAlign w:val="center"/>
          </w:tcPr>
          <w:p w14:paraId="342E1D62"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Correlated colour temperature:</w:t>
            </w:r>
          </w:p>
        </w:tc>
        <w:tc>
          <w:tcPr>
            <w:tcW w:w="1062" w:type="dxa"/>
            <w:vAlign w:val="center"/>
          </w:tcPr>
          <w:p w14:paraId="682A1476"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2-1-505</w:t>
            </w:r>
          </w:p>
        </w:tc>
        <w:tc>
          <w:tcPr>
            <w:tcW w:w="992" w:type="dxa"/>
            <w:vAlign w:val="center"/>
          </w:tcPr>
          <w:p w14:paraId="315FE73B"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47369FA5"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 xml:space="preserve">The colour temperature corresponding to that point on the line representing full radiators of different colour temperature which is nearest to the point representing the chromaticity of the </w:t>
            </w:r>
            <w:proofErr w:type="spellStart"/>
            <w:r w:rsidRPr="005F4F65">
              <w:rPr>
                <w:rFonts w:asciiTheme="minorHAnsi" w:hAnsiTheme="minorHAnsi"/>
                <w:sz w:val="20"/>
                <w:szCs w:val="20"/>
              </w:rPr>
              <w:t>illuminant</w:t>
            </w:r>
            <w:proofErr w:type="spellEnd"/>
            <w:r w:rsidRPr="005F4F65">
              <w:rPr>
                <w:rFonts w:asciiTheme="minorHAnsi" w:hAnsiTheme="minorHAnsi"/>
                <w:sz w:val="20"/>
                <w:szCs w:val="20"/>
              </w:rPr>
              <w:t>, considered on an agreed uniform-chromaticity-scale diagram.</w:t>
            </w:r>
          </w:p>
          <w:p w14:paraId="15975549"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Unit: kelvin (K)</w:t>
            </w:r>
          </w:p>
          <w:p w14:paraId="69AF8AEA"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Reference: C.I.E. (modified)</w:t>
            </w:r>
          </w:p>
          <w:p w14:paraId="0E711218"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lastRenderedPageBreak/>
              <w:t>Note: For further information on the agreed uniform-chromaticity-scale diagram, see Reference: C.I.E.</w:t>
            </w:r>
          </w:p>
        </w:tc>
        <w:tc>
          <w:tcPr>
            <w:tcW w:w="4252" w:type="dxa"/>
          </w:tcPr>
          <w:p w14:paraId="22CFE974"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lastRenderedPageBreak/>
              <w:t xml:space="preserve">Proposed definition English: </w:t>
            </w:r>
            <w:r w:rsidRPr="00D71AFF">
              <w:rPr>
                <w:rFonts w:ascii="Times New Roman" w:hAnsi="Times New Roman" w:cs="Times New Roman"/>
              </w:rPr>
              <w:t xml:space="preserve">Used to describe the temperature at which a </w:t>
            </w:r>
            <w:proofErr w:type="spellStart"/>
            <w:r w:rsidRPr="00D71AFF">
              <w:rPr>
                <w:rFonts w:ascii="Times New Roman" w:hAnsi="Times New Roman" w:cs="Times New Roman"/>
              </w:rPr>
              <w:t>Plankian</w:t>
            </w:r>
            <w:proofErr w:type="spellEnd"/>
            <w:r w:rsidRPr="00D71AFF">
              <w:rPr>
                <w:rFonts w:ascii="Times New Roman" w:hAnsi="Times New Roman" w:cs="Times New Roman"/>
              </w:rPr>
              <w:t xml:space="preserve"> Blackbody Radiator and an illumination source appear to match, usually specified in Kelvin (K).</w:t>
            </w:r>
          </w:p>
          <w:p w14:paraId="1D3BCC9A" w14:textId="77777777" w:rsidR="005A0F3D" w:rsidRDefault="005A0F3D" w:rsidP="0064794C">
            <w:pPr>
              <w:pStyle w:val="BodyText"/>
              <w:spacing w:after="0"/>
              <w:jc w:val="left"/>
              <w:rPr>
                <w:rFonts w:asciiTheme="minorHAnsi" w:hAnsiTheme="minorHAnsi"/>
                <w:sz w:val="20"/>
                <w:szCs w:val="20"/>
              </w:rPr>
            </w:pPr>
          </w:p>
          <w:p w14:paraId="1A24F209"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1665FEB1" w14:textId="77777777" w:rsidR="005A0F3D" w:rsidRDefault="005A0F3D" w:rsidP="0064794C">
            <w:pPr>
              <w:pStyle w:val="BodyText"/>
              <w:spacing w:after="0"/>
              <w:jc w:val="left"/>
              <w:rPr>
                <w:rFonts w:asciiTheme="minorHAnsi" w:hAnsiTheme="minorHAnsi"/>
                <w:sz w:val="20"/>
                <w:szCs w:val="20"/>
              </w:rPr>
            </w:pPr>
          </w:p>
          <w:p w14:paraId="61E88159"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2FB72440"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1FF67AD3"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Guideline 1048</w:t>
            </w:r>
          </w:p>
        </w:tc>
        <w:tc>
          <w:tcPr>
            <w:tcW w:w="948" w:type="dxa"/>
            <w:vAlign w:val="center"/>
          </w:tcPr>
          <w:p w14:paraId="4DD2C6BF"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4C1C7354" w14:textId="77777777" w:rsidTr="0064794C">
        <w:tc>
          <w:tcPr>
            <w:tcW w:w="1587" w:type="dxa"/>
            <w:vAlign w:val="center"/>
          </w:tcPr>
          <w:p w14:paraId="1015E146" w14:textId="77777777" w:rsidR="005A0F3D" w:rsidRPr="00011CD2" w:rsidRDefault="005A0F3D" w:rsidP="0064794C">
            <w:pPr>
              <w:pStyle w:val="BodyText"/>
              <w:jc w:val="left"/>
              <w:rPr>
                <w:rFonts w:asciiTheme="minorHAnsi" w:hAnsiTheme="minorHAnsi"/>
                <w:sz w:val="20"/>
                <w:szCs w:val="20"/>
              </w:rPr>
            </w:pPr>
            <w:proofErr w:type="spellStart"/>
            <w:r w:rsidRPr="005F4F65">
              <w:rPr>
                <w:rFonts w:asciiTheme="minorHAnsi" w:hAnsiTheme="minorHAnsi"/>
                <w:sz w:val="20"/>
                <w:szCs w:val="20"/>
              </w:rPr>
              <w:lastRenderedPageBreak/>
              <w:t>Organo</w:t>
            </w:r>
            <w:proofErr w:type="spellEnd"/>
            <w:r w:rsidRPr="005F4F65">
              <w:rPr>
                <w:rFonts w:asciiTheme="minorHAnsi" w:hAnsiTheme="minorHAnsi"/>
                <w:sz w:val="20"/>
                <w:szCs w:val="20"/>
              </w:rPr>
              <w:t xml:space="preserve">-metallic vapour phase </w:t>
            </w:r>
            <w:proofErr w:type="spellStart"/>
            <w:r w:rsidRPr="005F4F65">
              <w:rPr>
                <w:rFonts w:asciiTheme="minorHAnsi" w:hAnsiTheme="minorHAnsi"/>
                <w:sz w:val="20"/>
                <w:szCs w:val="20"/>
              </w:rPr>
              <w:t>epitaxy</w:t>
            </w:r>
            <w:proofErr w:type="spellEnd"/>
          </w:p>
        </w:tc>
        <w:tc>
          <w:tcPr>
            <w:tcW w:w="1062" w:type="dxa"/>
            <w:vAlign w:val="center"/>
          </w:tcPr>
          <w:p w14:paraId="326FF5ED"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0C3A411E"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31E0E255"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B57A6D4" w14:textId="77777777" w:rsidR="005A0F3D" w:rsidRDefault="005A0F3D" w:rsidP="0064794C">
            <w:pPr>
              <w:pStyle w:val="BodyText"/>
              <w:jc w:val="left"/>
              <w:rPr>
                <w:rFonts w:ascii="Times New Roman" w:hAnsi="Times New Roman" w:cs="Times New Roman"/>
              </w:rPr>
            </w:pPr>
            <w:r w:rsidRPr="00D3398C">
              <w:rPr>
                <w:rFonts w:asciiTheme="minorHAnsi" w:hAnsiTheme="minorHAnsi"/>
                <w:sz w:val="20"/>
                <w:szCs w:val="20"/>
              </w:rPr>
              <w:t xml:space="preserve">Proposed definition English: </w:t>
            </w:r>
            <w:proofErr w:type="spellStart"/>
            <w:r w:rsidRPr="00D71AFF">
              <w:rPr>
                <w:rFonts w:ascii="Times New Roman" w:hAnsi="Times New Roman" w:cs="Times New Roman"/>
              </w:rPr>
              <w:t>Organo</w:t>
            </w:r>
            <w:proofErr w:type="spellEnd"/>
            <w:r w:rsidRPr="00D71AFF">
              <w:rPr>
                <w:rFonts w:ascii="Times New Roman" w:hAnsi="Times New Roman" w:cs="Times New Roman"/>
              </w:rPr>
              <w:t xml:space="preserve">-metallic vapour phase </w:t>
            </w:r>
            <w:proofErr w:type="spellStart"/>
            <w:r w:rsidRPr="00D71AFF">
              <w:rPr>
                <w:rFonts w:ascii="Times New Roman" w:hAnsi="Times New Roman" w:cs="Times New Roman"/>
              </w:rPr>
              <w:t>epitaxy</w:t>
            </w:r>
            <w:proofErr w:type="spellEnd"/>
            <w:r w:rsidRPr="00D71AFF">
              <w:rPr>
                <w:rFonts w:ascii="Times New Roman" w:hAnsi="Times New Roman" w:cs="Times New Roman"/>
              </w:rPr>
              <w:t xml:space="preserve"> – a crystal growth technique allowing the growing of a crystal layer on top of another crystal substrate.</w:t>
            </w:r>
          </w:p>
          <w:p w14:paraId="0CA7E597" w14:textId="77777777" w:rsidR="005A0F3D" w:rsidRDefault="005A0F3D" w:rsidP="0064794C">
            <w:pPr>
              <w:pStyle w:val="BodyText"/>
              <w:spacing w:after="0"/>
              <w:jc w:val="left"/>
              <w:rPr>
                <w:rFonts w:asciiTheme="minorHAnsi" w:hAnsiTheme="minorHAnsi"/>
                <w:sz w:val="20"/>
                <w:szCs w:val="20"/>
              </w:rPr>
            </w:pPr>
          </w:p>
          <w:p w14:paraId="201F8BC7"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7542146D" w14:textId="77777777" w:rsidR="005A0F3D" w:rsidRDefault="005A0F3D" w:rsidP="0064794C">
            <w:pPr>
              <w:pStyle w:val="BodyText"/>
              <w:spacing w:after="0"/>
              <w:jc w:val="left"/>
              <w:rPr>
                <w:rFonts w:asciiTheme="minorHAnsi" w:hAnsiTheme="minorHAnsi"/>
                <w:sz w:val="20"/>
                <w:szCs w:val="20"/>
              </w:rPr>
            </w:pPr>
          </w:p>
          <w:p w14:paraId="03169037"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13A72FC7"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0FE095B4"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35DBCB8B"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3CBC81F1" w14:textId="77777777" w:rsidTr="0064794C">
        <w:tc>
          <w:tcPr>
            <w:tcW w:w="1587" w:type="dxa"/>
            <w:vAlign w:val="center"/>
          </w:tcPr>
          <w:p w14:paraId="7A814391"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Colour Temperature</w:t>
            </w:r>
          </w:p>
        </w:tc>
        <w:tc>
          <w:tcPr>
            <w:tcW w:w="1062" w:type="dxa"/>
            <w:vAlign w:val="center"/>
          </w:tcPr>
          <w:p w14:paraId="4C09FAA6"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2-1-500</w:t>
            </w:r>
          </w:p>
        </w:tc>
        <w:tc>
          <w:tcPr>
            <w:tcW w:w="992" w:type="dxa"/>
            <w:vAlign w:val="center"/>
          </w:tcPr>
          <w:p w14:paraId="35E19E94"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IALA Sec</w:t>
            </w:r>
          </w:p>
        </w:tc>
        <w:tc>
          <w:tcPr>
            <w:tcW w:w="4252" w:type="dxa"/>
            <w:vAlign w:val="center"/>
          </w:tcPr>
          <w:p w14:paraId="2B8D594D"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The temperature of the full radiator which emits radiation of the same chromaticity as the radiation considered.</w:t>
            </w:r>
          </w:p>
          <w:p w14:paraId="68A7A807"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Unit: kelvin (K)</w:t>
            </w:r>
          </w:p>
          <w:p w14:paraId="02E5F235" w14:textId="77777777" w:rsidR="005A0F3D" w:rsidRPr="005F4F65" w:rsidRDefault="005A0F3D" w:rsidP="0064794C">
            <w:pPr>
              <w:pStyle w:val="BodyText"/>
              <w:rPr>
                <w:rFonts w:asciiTheme="minorHAnsi" w:hAnsiTheme="minorHAnsi"/>
                <w:sz w:val="20"/>
                <w:szCs w:val="20"/>
              </w:rPr>
            </w:pPr>
            <w:r w:rsidRPr="005F4F65">
              <w:rPr>
                <w:rFonts w:asciiTheme="minorHAnsi" w:hAnsiTheme="minorHAnsi"/>
                <w:sz w:val="20"/>
                <w:szCs w:val="20"/>
              </w:rPr>
              <w:t>Note: The corresponding relative spectral distribution curves need not be similar provided that the radiations give rise to identical colour sensations.</w:t>
            </w:r>
          </w:p>
          <w:p w14:paraId="4A8990AD"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Reference: C.I.E. (modified)</w:t>
            </w:r>
          </w:p>
        </w:tc>
        <w:tc>
          <w:tcPr>
            <w:tcW w:w="4252" w:type="dxa"/>
          </w:tcPr>
          <w:p w14:paraId="1A802A3F" w14:textId="77777777" w:rsidR="005A0F3D" w:rsidRDefault="005A0F3D" w:rsidP="0064794C">
            <w:pPr>
              <w:pStyle w:val="BodyText"/>
              <w:jc w:val="left"/>
              <w:rPr>
                <w:rFonts w:ascii="Times New Roman" w:hAnsi="Times New Roman" w:cs="Times New Roman"/>
              </w:rPr>
            </w:pPr>
            <w:r>
              <w:rPr>
                <w:rFonts w:asciiTheme="minorHAnsi" w:hAnsiTheme="minorHAnsi"/>
                <w:sz w:val="20"/>
                <w:szCs w:val="20"/>
              </w:rPr>
              <w:t xml:space="preserve">Proposed definition English: </w:t>
            </w:r>
            <w:r w:rsidRPr="00D71AFF">
              <w:rPr>
                <w:rFonts w:ascii="Times New Roman" w:hAnsi="Times New Roman" w:cs="Times New Roman"/>
              </w:rPr>
              <w:t>Colour temperature of a light source is the absolute temperature of a blackbody radiator having a chromaticity equal to that of the light source.</w:t>
            </w:r>
          </w:p>
          <w:p w14:paraId="41E184DC" w14:textId="77777777" w:rsidR="005A0F3D" w:rsidRDefault="005A0F3D" w:rsidP="0064794C">
            <w:pPr>
              <w:pStyle w:val="BodyText"/>
              <w:spacing w:after="0"/>
              <w:jc w:val="left"/>
              <w:rPr>
                <w:rFonts w:asciiTheme="minorHAnsi" w:hAnsiTheme="minorHAnsi"/>
                <w:sz w:val="20"/>
                <w:szCs w:val="20"/>
              </w:rPr>
            </w:pPr>
          </w:p>
          <w:p w14:paraId="03B2BAD3"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7AB5EE64" w14:textId="77777777" w:rsidR="005A0F3D" w:rsidRDefault="005A0F3D" w:rsidP="0064794C">
            <w:pPr>
              <w:pStyle w:val="BodyText"/>
              <w:spacing w:after="0"/>
              <w:jc w:val="left"/>
              <w:rPr>
                <w:rFonts w:asciiTheme="minorHAnsi" w:hAnsiTheme="minorHAnsi"/>
                <w:sz w:val="20"/>
                <w:szCs w:val="20"/>
              </w:rPr>
            </w:pPr>
          </w:p>
          <w:p w14:paraId="308765F2"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555EB2E1"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2D0143E5"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24968016"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51850A34" w14:textId="77777777" w:rsidTr="0064794C">
        <w:tc>
          <w:tcPr>
            <w:tcW w:w="1587" w:type="dxa"/>
            <w:vAlign w:val="center"/>
          </w:tcPr>
          <w:p w14:paraId="26D1CC00"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Colour Purity</w:t>
            </w:r>
          </w:p>
        </w:tc>
        <w:tc>
          <w:tcPr>
            <w:tcW w:w="1062" w:type="dxa"/>
            <w:vAlign w:val="center"/>
          </w:tcPr>
          <w:p w14:paraId="598BE07C"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662FCFA2"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533D6AD8" w14:textId="77777777" w:rsidR="005A0F3D" w:rsidRDefault="005A0F3D" w:rsidP="0064794C">
            <w:pPr>
              <w:pStyle w:val="BodyText"/>
              <w:jc w:val="left"/>
              <w:rPr>
                <w:rFonts w:asciiTheme="minorHAnsi" w:hAnsiTheme="minorHAnsi"/>
                <w:sz w:val="20"/>
                <w:szCs w:val="20"/>
              </w:rPr>
            </w:pPr>
            <w:r>
              <w:rPr>
                <w:rFonts w:asciiTheme="minorHAnsi" w:hAnsiTheme="minorHAnsi"/>
                <w:sz w:val="20"/>
                <w:szCs w:val="20"/>
              </w:rPr>
              <w:t>None</w:t>
            </w:r>
          </w:p>
          <w:p w14:paraId="7638B702"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See chromaticity</w:t>
            </w:r>
          </w:p>
        </w:tc>
        <w:tc>
          <w:tcPr>
            <w:tcW w:w="4252" w:type="dxa"/>
          </w:tcPr>
          <w:p w14:paraId="78D1C00F"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Colour purity of a light is the ratio L1 / L2 where L1 is the luminance of the single frequency component that must be mixed with a reference standard to match the colour of the light and L2 is the luminance of the light.</w:t>
            </w:r>
          </w:p>
          <w:p w14:paraId="21C1F4DD" w14:textId="77777777" w:rsidR="005A0F3D" w:rsidRDefault="005A0F3D" w:rsidP="0064794C">
            <w:pPr>
              <w:pStyle w:val="BodyText"/>
              <w:spacing w:after="0"/>
              <w:jc w:val="left"/>
              <w:rPr>
                <w:rFonts w:asciiTheme="minorHAnsi" w:hAnsiTheme="minorHAnsi"/>
                <w:sz w:val="20"/>
                <w:szCs w:val="20"/>
              </w:rPr>
            </w:pPr>
          </w:p>
          <w:p w14:paraId="28DB8E0A"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09E4E19D" w14:textId="77777777" w:rsidR="005A0F3D" w:rsidRDefault="005A0F3D" w:rsidP="0064794C">
            <w:pPr>
              <w:pStyle w:val="BodyText"/>
              <w:spacing w:after="0"/>
              <w:jc w:val="left"/>
              <w:rPr>
                <w:rFonts w:asciiTheme="minorHAnsi" w:hAnsiTheme="minorHAnsi"/>
                <w:sz w:val="20"/>
                <w:szCs w:val="20"/>
              </w:rPr>
            </w:pPr>
          </w:p>
          <w:p w14:paraId="2CAFFE8E"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lastRenderedPageBreak/>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76C5621A"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0D517B74"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lastRenderedPageBreak/>
              <w:t>Guideline 1048</w:t>
            </w:r>
          </w:p>
        </w:tc>
        <w:tc>
          <w:tcPr>
            <w:tcW w:w="948" w:type="dxa"/>
            <w:vAlign w:val="center"/>
          </w:tcPr>
          <w:p w14:paraId="09F9DC4C"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22763E1D" w14:textId="77777777" w:rsidTr="0064794C">
        <w:tc>
          <w:tcPr>
            <w:tcW w:w="1587" w:type="dxa"/>
            <w:vAlign w:val="center"/>
          </w:tcPr>
          <w:p w14:paraId="77E54860"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lastRenderedPageBreak/>
              <w:t>Colour rendition</w:t>
            </w:r>
          </w:p>
        </w:tc>
        <w:tc>
          <w:tcPr>
            <w:tcW w:w="1062" w:type="dxa"/>
            <w:vAlign w:val="center"/>
          </w:tcPr>
          <w:p w14:paraId="321682C3"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24A33E4B"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259999B7"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0AACC7D"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General expression for the effect of a light source on the colour appearance of objects in comparison with their colour appearance under a reference light source. (IES Handbook)</w:t>
            </w:r>
          </w:p>
          <w:p w14:paraId="03738412" w14:textId="77777777" w:rsidR="005A0F3D" w:rsidRDefault="005A0F3D" w:rsidP="0064794C">
            <w:pPr>
              <w:pStyle w:val="BodyText"/>
              <w:spacing w:after="0"/>
              <w:jc w:val="left"/>
              <w:rPr>
                <w:rFonts w:asciiTheme="minorHAnsi" w:hAnsiTheme="minorHAnsi"/>
                <w:sz w:val="20"/>
                <w:szCs w:val="20"/>
              </w:rPr>
            </w:pPr>
          </w:p>
          <w:p w14:paraId="019E63E9"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346B8C0E" w14:textId="77777777" w:rsidR="005A0F3D" w:rsidRDefault="005A0F3D" w:rsidP="0064794C">
            <w:pPr>
              <w:pStyle w:val="BodyText"/>
              <w:spacing w:after="0"/>
              <w:jc w:val="left"/>
              <w:rPr>
                <w:rFonts w:asciiTheme="minorHAnsi" w:hAnsiTheme="minorHAnsi"/>
                <w:sz w:val="20"/>
                <w:szCs w:val="20"/>
              </w:rPr>
            </w:pPr>
          </w:p>
          <w:p w14:paraId="1CE8C796"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293D83F2"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37FBB0D2"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4DBB3893"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r w:rsidR="005A0F3D" w:rsidRPr="00011CD2" w14:paraId="7D2FECCF" w14:textId="77777777" w:rsidTr="0064794C">
        <w:tc>
          <w:tcPr>
            <w:tcW w:w="1587" w:type="dxa"/>
            <w:vAlign w:val="center"/>
          </w:tcPr>
          <w:p w14:paraId="2D39A8CA" w14:textId="77777777" w:rsidR="005A0F3D" w:rsidRPr="00011CD2" w:rsidRDefault="005A0F3D" w:rsidP="0064794C">
            <w:pPr>
              <w:pStyle w:val="BodyText"/>
              <w:jc w:val="left"/>
              <w:rPr>
                <w:rFonts w:asciiTheme="minorHAnsi" w:hAnsiTheme="minorHAnsi"/>
                <w:sz w:val="20"/>
                <w:szCs w:val="20"/>
              </w:rPr>
            </w:pPr>
            <w:r w:rsidRPr="005F4F65">
              <w:rPr>
                <w:rFonts w:asciiTheme="minorHAnsi" w:hAnsiTheme="minorHAnsi"/>
                <w:sz w:val="20"/>
                <w:szCs w:val="20"/>
              </w:rPr>
              <w:t>Die Chip</w:t>
            </w:r>
          </w:p>
        </w:tc>
        <w:tc>
          <w:tcPr>
            <w:tcW w:w="1062" w:type="dxa"/>
            <w:vAlign w:val="center"/>
          </w:tcPr>
          <w:p w14:paraId="180D2773" w14:textId="77777777" w:rsidR="005A0F3D" w:rsidRPr="00011CD2" w:rsidRDefault="005A0F3D" w:rsidP="0064794C">
            <w:pPr>
              <w:pStyle w:val="BodyText"/>
              <w:jc w:val="left"/>
              <w:rPr>
                <w:rFonts w:asciiTheme="minorHAnsi" w:hAnsiTheme="minorHAnsi"/>
                <w:sz w:val="20"/>
                <w:szCs w:val="20"/>
              </w:rPr>
            </w:pPr>
          </w:p>
        </w:tc>
        <w:tc>
          <w:tcPr>
            <w:tcW w:w="992" w:type="dxa"/>
            <w:vAlign w:val="center"/>
          </w:tcPr>
          <w:p w14:paraId="4BAF26FE" w14:textId="77777777" w:rsidR="005A0F3D" w:rsidRPr="00011CD2" w:rsidRDefault="005A0F3D" w:rsidP="0064794C">
            <w:pPr>
              <w:pStyle w:val="BodyText"/>
              <w:jc w:val="left"/>
              <w:rPr>
                <w:rFonts w:asciiTheme="minorHAnsi" w:hAnsiTheme="minorHAnsi"/>
                <w:sz w:val="20"/>
                <w:szCs w:val="20"/>
              </w:rPr>
            </w:pPr>
          </w:p>
        </w:tc>
        <w:tc>
          <w:tcPr>
            <w:tcW w:w="4252" w:type="dxa"/>
            <w:vAlign w:val="center"/>
          </w:tcPr>
          <w:p w14:paraId="1977AB4D"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None</w:t>
            </w:r>
          </w:p>
        </w:tc>
        <w:tc>
          <w:tcPr>
            <w:tcW w:w="4252" w:type="dxa"/>
          </w:tcPr>
          <w:p w14:paraId="1EF37853" w14:textId="77777777" w:rsidR="005A0F3D" w:rsidRDefault="005A0F3D" w:rsidP="0064794C">
            <w:pPr>
              <w:pStyle w:val="BodyText"/>
              <w:jc w:val="left"/>
              <w:rPr>
                <w:rFonts w:ascii="Times New Roman" w:hAnsi="Times New Roman" w:cs="Times New Roman"/>
              </w:rPr>
            </w:pPr>
            <w:r w:rsidRPr="00D3398C">
              <w:rPr>
                <w:rFonts w:ascii="Times New Roman" w:hAnsi="Times New Roman" w:cs="Times New Roman"/>
              </w:rPr>
              <w:t xml:space="preserve">Proposed definition English: </w:t>
            </w:r>
            <w:r w:rsidRPr="00D71AFF">
              <w:rPr>
                <w:rFonts w:ascii="Times New Roman" w:hAnsi="Times New Roman" w:cs="Times New Roman"/>
              </w:rPr>
              <w:t>Die Chip, heart of the LED</w:t>
            </w:r>
          </w:p>
          <w:p w14:paraId="7D5BC956" w14:textId="77777777" w:rsidR="005A0F3D" w:rsidRDefault="005A0F3D" w:rsidP="0064794C">
            <w:pPr>
              <w:pStyle w:val="BodyText"/>
              <w:spacing w:after="0"/>
              <w:jc w:val="left"/>
              <w:rPr>
                <w:rFonts w:asciiTheme="minorHAnsi" w:hAnsiTheme="minorHAnsi"/>
                <w:sz w:val="20"/>
                <w:szCs w:val="20"/>
              </w:rPr>
            </w:pPr>
          </w:p>
          <w:p w14:paraId="4547E97E"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72D56D59" w14:textId="77777777" w:rsidR="005A0F3D" w:rsidRDefault="005A0F3D" w:rsidP="0064794C">
            <w:pPr>
              <w:pStyle w:val="BodyText"/>
              <w:spacing w:after="0"/>
              <w:jc w:val="left"/>
              <w:rPr>
                <w:rFonts w:asciiTheme="minorHAnsi" w:hAnsiTheme="minorHAnsi"/>
                <w:sz w:val="20"/>
                <w:szCs w:val="20"/>
              </w:rPr>
            </w:pPr>
          </w:p>
          <w:p w14:paraId="00D0E2BA" w14:textId="77777777" w:rsidR="005A0F3D" w:rsidRDefault="005A0F3D" w:rsidP="0064794C">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896A28E" w14:textId="77777777" w:rsidR="005A0F3D" w:rsidRPr="00011CD2" w:rsidRDefault="005A0F3D" w:rsidP="0064794C">
            <w:pPr>
              <w:pStyle w:val="BodyText"/>
              <w:jc w:val="left"/>
              <w:rPr>
                <w:rFonts w:asciiTheme="minorHAnsi" w:hAnsiTheme="minorHAnsi"/>
                <w:sz w:val="20"/>
                <w:szCs w:val="20"/>
              </w:rPr>
            </w:pPr>
          </w:p>
        </w:tc>
        <w:tc>
          <w:tcPr>
            <w:tcW w:w="924" w:type="dxa"/>
            <w:vAlign w:val="center"/>
          </w:tcPr>
          <w:p w14:paraId="75E70923" w14:textId="77777777" w:rsidR="005A0F3D" w:rsidRPr="00011CD2" w:rsidRDefault="005A0F3D" w:rsidP="0064794C">
            <w:pPr>
              <w:pStyle w:val="BodyText"/>
              <w:jc w:val="left"/>
              <w:rPr>
                <w:rFonts w:asciiTheme="minorHAnsi" w:hAnsiTheme="minorHAnsi"/>
                <w:sz w:val="20"/>
                <w:szCs w:val="20"/>
              </w:rPr>
            </w:pPr>
            <w:r w:rsidRPr="00826D1C">
              <w:rPr>
                <w:rFonts w:asciiTheme="minorHAnsi" w:hAnsiTheme="minorHAnsi"/>
                <w:sz w:val="20"/>
                <w:szCs w:val="20"/>
              </w:rPr>
              <w:t>Guideline 1048</w:t>
            </w:r>
          </w:p>
        </w:tc>
        <w:tc>
          <w:tcPr>
            <w:tcW w:w="948" w:type="dxa"/>
            <w:vAlign w:val="center"/>
          </w:tcPr>
          <w:p w14:paraId="3B566A11" w14:textId="77777777" w:rsidR="005A0F3D" w:rsidRPr="00011CD2" w:rsidRDefault="005A0F3D" w:rsidP="0064794C">
            <w:pPr>
              <w:pStyle w:val="BodyText"/>
              <w:jc w:val="left"/>
              <w:rPr>
                <w:rFonts w:asciiTheme="minorHAnsi" w:hAnsiTheme="minorHAnsi"/>
                <w:sz w:val="20"/>
                <w:szCs w:val="20"/>
              </w:rPr>
            </w:pPr>
            <w:r>
              <w:rPr>
                <w:rFonts w:asciiTheme="minorHAnsi" w:hAnsiTheme="minorHAnsi"/>
                <w:sz w:val="20"/>
                <w:szCs w:val="20"/>
              </w:rPr>
              <w:t>WG1</w:t>
            </w:r>
          </w:p>
        </w:tc>
      </w:tr>
    </w:tbl>
    <w:p w14:paraId="5FF80F9D" w14:textId="77777777" w:rsidR="004D1D85" w:rsidRPr="007A395D" w:rsidRDefault="004D1D85" w:rsidP="00F36489">
      <w:pPr>
        <w:pStyle w:val="BodyText"/>
      </w:pPr>
    </w:p>
    <w:sectPr w:rsidR="004D1D85" w:rsidRPr="007A395D" w:rsidSect="005A0F3D">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C150D" w14:textId="77777777" w:rsidR="009B6862" w:rsidRDefault="009B6862" w:rsidP="00362CD9">
      <w:r>
        <w:separator/>
      </w:r>
    </w:p>
  </w:endnote>
  <w:endnote w:type="continuationSeparator" w:id="0">
    <w:p w14:paraId="2F710C53" w14:textId="77777777" w:rsidR="009B6862" w:rsidRDefault="009B686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D6EEDD1" w:rsidR="00362CD9" w:rsidRPr="00036B9E" w:rsidRDefault="00271FA5">
    <w:pPr>
      <w:pStyle w:val="Footer"/>
      <w:rPr>
        <w:rFonts w:ascii="Calibri" w:hAnsi="Calibri"/>
      </w:rPr>
    </w:pPr>
    <w:r w:rsidRPr="00271FA5">
      <w:rPr>
        <w:rFonts w:ascii="Calibri" w:hAnsi="Calibri"/>
        <w:sz w:val="20"/>
        <w:szCs w:val="20"/>
      </w:rPr>
      <w:t>Query re definition of Dictionary terms</w:t>
    </w:r>
    <w:r>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03253">
      <w:rPr>
        <w:rFonts w:ascii="Calibri" w:hAnsi="Calibri"/>
        <w:noProof/>
      </w:rPr>
      <w:t>4</w:t>
    </w:r>
    <w:r w:rsidR="00362CD9" w:rsidRPr="00036B9E">
      <w:rPr>
        <w:rFonts w:ascii="Calibri" w:hAnsi="Calibri"/>
      </w:rPr>
      <w:fldChar w:fldCharType="end"/>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20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BC293" w14:textId="77777777" w:rsidR="009B6862" w:rsidRDefault="009B6862" w:rsidP="00362CD9">
      <w:r>
        <w:separator/>
      </w:r>
    </w:p>
  </w:footnote>
  <w:footnote w:type="continuationSeparator" w:id="0">
    <w:p w14:paraId="4F118034" w14:textId="77777777" w:rsidR="009B6862" w:rsidRDefault="009B6862"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9B6862">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3360" behindDoc="0" locked="0" layoutInCell="1" allowOverlap="1" wp14:anchorId="1057C1DB" wp14:editId="40F3C8A4">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B6862">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636517BD">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9B6862"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110AE7"/>
    <w:rsid w:val="00137240"/>
    <w:rsid w:val="00177F4D"/>
    <w:rsid w:val="00180DDA"/>
    <w:rsid w:val="001B2A2D"/>
    <w:rsid w:val="001B737D"/>
    <w:rsid w:val="001C44A3"/>
    <w:rsid w:val="001E038E"/>
    <w:rsid w:val="001E0E15"/>
    <w:rsid w:val="001F528A"/>
    <w:rsid w:val="001F704E"/>
    <w:rsid w:val="00201722"/>
    <w:rsid w:val="002125B0"/>
    <w:rsid w:val="00243228"/>
    <w:rsid w:val="00251483"/>
    <w:rsid w:val="00255CAA"/>
    <w:rsid w:val="00264305"/>
    <w:rsid w:val="00271FA5"/>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12B93"/>
    <w:rsid w:val="00521345"/>
    <w:rsid w:val="00526888"/>
    <w:rsid w:val="00526DF0"/>
    <w:rsid w:val="00545CC4"/>
    <w:rsid w:val="00551FFF"/>
    <w:rsid w:val="005607A2"/>
    <w:rsid w:val="0057198B"/>
    <w:rsid w:val="00573CFE"/>
    <w:rsid w:val="005969F2"/>
    <w:rsid w:val="00597FAE"/>
    <w:rsid w:val="005A0F3D"/>
    <w:rsid w:val="005B32A3"/>
    <w:rsid w:val="005C0D44"/>
    <w:rsid w:val="005C566C"/>
    <w:rsid w:val="005C7E69"/>
    <w:rsid w:val="005D67E5"/>
    <w:rsid w:val="005E262D"/>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FEA"/>
    <w:rsid w:val="007A395D"/>
    <w:rsid w:val="007C346C"/>
    <w:rsid w:val="0080294B"/>
    <w:rsid w:val="0082480E"/>
    <w:rsid w:val="008456C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9B6862"/>
    <w:rsid w:val="00A03253"/>
    <w:rsid w:val="00A0389B"/>
    <w:rsid w:val="00A33AE9"/>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6283"/>
    <w:rsid w:val="00C6171E"/>
    <w:rsid w:val="00C964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60608"/>
    <w:rsid w:val="00F62217"/>
    <w:rsid w:val="00FB17A9"/>
    <w:rsid w:val="00FB527C"/>
    <w:rsid w:val="00FB6F75"/>
    <w:rsid w:val="00FC0EB3"/>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0C4CB-5947-43D6-A815-D5A43672B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Seamus Doyle</cp:lastModifiedBy>
  <cp:revision>8</cp:revision>
  <dcterms:created xsi:type="dcterms:W3CDTF">2016-08-20T10:30:00Z</dcterms:created>
  <dcterms:modified xsi:type="dcterms:W3CDTF">2016-08-20T10:57:00Z</dcterms:modified>
</cp:coreProperties>
</file>